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19050" distT="19050" distL="19050" distR="19050" hidden="0" layoutInCell="1" locked="0" relativeHeight="0" simplePos="0">
            <wp:simplePos x="0" y="0"/>
            <wp:positionH relativeFrom="page">
              <wp:posOffset>571500</wp:posOffset>
            </wp:positionH>
            <wp:positionV relativeFrom="page">
              <wp:posOffset>180975</wp:posOffset>
            </wp:positionV>
            <wp:extent cx="1322838" cy="1869681"/>
            <wp:effectExtent b="0" l="0" r="0" t="0"/>
            <wp:wrapNone/>
            <wp:docPr id="3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2838" cy="1869681"/>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4668732</wp:posOffset>
            </wp:positionH>
            <wp:positionV relativeFrom="paragraph">
              <wp:posOffset>0</wp:posOffset>
            </wp:positionV>
            <wp:extent cx="1549400" cy="1131570"/>
            <wp:effectExtent b="0" l="0" r="0" t="0"/>
            <wp:wrapSquare wrapText="bothSides" distB="0" distT="0" distL="114300" distR="114300"/>
            <wp:docPr id="4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549400" cy="1131570"/>
                    </a:xfrm>
                    <a:prstGeom prst="rect"/>
                    <a:ln/>
                  </pic:spPr>
                </pic:pic>
              </a:graphicData>
            </a:graphic>
          </wp:anchor>
        </w:drawing>
      </w:r>
    </w:p>
    <w:p w:rsidR="00000000" w:rsidDel="00000000" w:rsidP="00000000" w:rsidRDefault="00000000" w:rsidRPr="00000000" w14:paraId="00000002">
      <w:pPr>
        <w:widowControl w:val="0"/>
        <w:spacing w:after="0" w:before="478.3056640625" w:line="240" w:lineRule="auto"/>
        <w:ind w:right="2735.999755859375"/>
        <w:jc w:val="right"/>
        <w:rPr>
          <w:rFonts w:ascii="Calibri" w:cs="Calibri" w:eastAsia="Calibri" w:hAnsi="Calibri"/>
          <w:sz w:val="22"/>
          <w:szCs w:val="22"/>
          <w:u w:val="non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tabs>
          <w:tab w:val="left" w:leader="none" w:pos="3090"/>
        </w:tabs>
        <w:jc w:val="center"/>
        <w:rPr>
          <w:b w:val="1"/>
          <w:sz w:val="28"/>
          <w:szCs w:val="28"/>
        </w:rPr>
      </w:pPr>
      <w:r w:rsidDel="00000000" w:rsidR="00000000" w:rsidRPr="00000000">
        <w:rPr>
          <w:rtl w:val="0"/>
        </w:rPr>
      </w:r>
    </w:p>
    <w:p w:rsidR="00000000" w:rsidDel="00000000" w:rsidP="00000000" w:rsidRDefault="00000000" w:rsidRPr="00000000" w14:paraId="00000005">
      <w:pPr>
        <w:tabs>
          <w:tab w:val="left" w:leader="none" w:pos="3090"/>
        </w:tabs>
        <w:spacing w:line="480" w:lineRule="auto"/>
        <w:jc w:val="center"/>
        <w:rPr/>
      </w:pPr>
      <w:r w:rsidDel="00000000" w:rsidR="00000000" w:rsidRPr="00000000">
        <w:rPr>
          <w:b w:val="1"/>
          <w:sz w:val="28"/>
          <w:szCs w:val="28"/>
          <w:rtl w:val="0"/>
        </w:rPr>
        <w:t xml:space="preserve">Post 16 Study Sessions procedure</w:t>
      </w:r>
      <w:r w:rsidDel="00000000" w:rsidR="00000000" w:rsidRPr="00000000">
        <w:rPr>
          <w:rtl w:val="0"/>
        </w:rPr>
      </w:r>
    </w:p>
    <w:p w:rsidR="00000000" w:rsidDel="00000000" w:rsidP="00000000" w:rsidRDefault="00000000" w:rsidRPr="00000000" w14:paraId="00000006">
      <w:pPr>
        <w:tabs>
          <w:tab w:val="left" w:leader="none" w:pos="2595"/>
        </w:tabs>
        <w:rPr>
          <w:b w:val="1"/>
        </w:rPr>
      </w:pPr>
      <w:r w:rsidDel="00000000" w:rsidR="00000000" w:rsidRPr="00000000">
        <w:rPr>
          <w:rtl w:val="0"/>
        </w:rPr>
        <w:t xml:space="preserve">This policy is effective for Brookvale Groby Learning Campus (a part of The Mead Educational Trust)</w:t>
      </w:r>
      <w:r w:rsidDel="00000000" w:rsidR="00000000" w:rsidRPr="00000000">
        <w:rPr>
          <w:rtl w:val="0"/>
        </w:rPr>
      </w:r>
    </w:p>
    <w:tbl>
      <w:tblPr>
        <w:tblStyle w:val="Table1"/>
        <w:tblW w:w="9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461"/>
        <w:tblGridChange w:id="0">
          <w:tblGrid>
            <w:gridCol w:w="1555"/>
            <w:gridCol w:w="7461"/>
          </w:tblGrid>
        </w:tblGridChange>
      </w:tblGrid>
      <w:tr>
        <w:trPr>
          <w:cantSplit w:val="0"/>
          <w:trHeight w:val="433.84375" w:hRule="atLeast"/>
          <w:tblHeader w:val="0"/>
        </w:trPr>
        <w:tc>
          <w:tcPr>
            <w:shd w:fill="bce08a" w:val="clear"/>
            <w:vAlign w:val="center"/>
          </w:tcPr>
          <w:p w:rsidR="00000000" w:rsidDel="00000000" w:rsidP="00000000" w:rsidRDefault="00000000" w:rsidRPr="00000000" w14:paraId="00000007">
            <w:pPr>
              <w:ind w:right="-22"/>
              <w:rPr>
                <w:b w:val="1"/>
              </w:rPr>
            </w:pPr>
            <w:r w:rsidDel="00000000" w:rsidR="00000000" w:rsidRPr="00000000">
              <w:rPr>
                <w:b w:val="1"/>
                <w:rtl w:val="0"/>
              </w:rPr>
              <w:t xml:space="preserve">Version:</w:t>
            </w:r>
          </w:p>
        </w:tc>
        <w:tc>
          <w:tcP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1.0</w:t>
            </w:r>
          </w:p>
        </w:tc>
      </w:tr>
      <w:tr>
        <w:trPr>
          <w:cantSplit w:val="0"/>
          <w:trHeight w:val="433.84375" w:hRule="atLeast"/>
          <w:tblHeader w:val="0"/>
        </w:trPr>
        <w:tc>
          <w:tcPr>
            <w:shd w:fill="bce08a" w:val="clear"/>
            <w:vAlign w:val="center"/>
          </w:tcPr>
          <w:p w:rsidR="00000000" w:rsidDel="00000000" w:rsidP="00000000" w:rsidRDefault="00000000" w:rsidRPr="00000000" w14:paraId="00000009">
            <w:pPr>
              <w:ind w:right="-22"/>
              <w:rPr>
                <w:b w:val="1"/>
              </w:rPr>
            </w:pPr>
            <w:r w:rsidDel="00000000" w:rsidR="00000000" w:rsidRPr="00000000">
              <w:rPr>
                <w:b w:val="1"/>
                <w:rtl w:val="0"/>
              </w:rPr>
              <w:t xml:space="preserve">Ratified by:</w:t>
            </w:r>
          </w:p>
        </w:tc>
        <w:tc>
          <w:tcP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Mr Will Teece (Headteacher)</w:t>
            </w:r>
          </w:p>
        </w:tc>
      </w:tr>
      <w:tr>
        <w:trPr>
          <w:cantSplit w:val="0"/>
          <w:trHeight w:val="433.84375" w:hRule="atLeast"/>
          <w:tblHeader w:val="0"/>
        </w:trPr>
        <w:tc>
          <w:tcPr>
            <w:shd w:fill="bce08a" w:val="clear"/>
            <w:vAlign w:val="center"/>
          </w:tcPr>
          <w:p w:rsidR="00000000" w:rsidDel="00000000" w:rsidP="00000000" w:rsidRDefault="00000000" w:rsidRPr="00000000" w14:paraId="0000000B">
            <w:pPr>
              <w:ind w:right="-22"/>
              <w:rPr>
                <w:b w:val="1"/>
              </w:rPr>
            </w:pPr>
            <w:r w:rsidDel="00000000" w:rsidR="00000000" w:rsidRPr="00000000">
              <w:rPr>
                <w:b w:val="1"/>
                <w:rtl w:val="0"/>
              </w:rPr>
              <w:t xml:space="preserve">Date ratified:</w:t>
            </w:r>
          </w:p>
        </w:tc>
        <w:tc>
          <w:tcP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1st July 2025</w:t>
            </w:r>
          </w:p>
        </w:tc>
      </w:tr>
      <w:tr>
        <w:trPr>
          <w:cantSplit w:val="0"/>
          <w:trHeight w:val="433.84375" w:hRule="atLeast"/>
          <w:tblHeader w:val="0"/>
        </w:trPr>
        <w:tc>
          <w:tcPr>
            <w:shd w:fill="bce08a" w:val="clear"/>
            <w:vAlign w:val="center"/>
          </w:tcPr>
          <w:p w:rsidR="00000000" w:rsidDel="00000000" w:rsidP="00000000" w:rsidRDefault="00000000" w:rsidRPr="00000000" w14:paraId="0000000D">
            <w:pPr>
              <w:ind w:right="-22"/>
              <w:rPr>
                <w:b w:val="1"/>
              </w:rPr>
            </w:pPr>
            <w:r w:rsidDel="00000000" w:rsidR="00000000" w:rsidRPr="00000000">
              <w:rPr>
                <w:b w:val="1"/>
                <w:rtl w:val="0"/>
              </w:rPr>
              <w:t xml:space="preserve">Last reviewed:</w:t>
            </w:r>
          </w:p>
        </w:tc>
        <w:tc>
          <w:tcP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June 2025</w:t>
            </w:r>
          </w:p>
        </w:tc>
      </w:tr>
      <w:tr>
        <w:trPr>
          <w:cantSplit w:val="0"/>
          <w:trHeight w:val="433.84375" w:hRule="atLeast"/>
          <w:tblHeader w:val="0"/>
        </w:trPr>
        <w:tc>
          <w:tcPr>
            <w:shd w:fill="bce08a" w:val="clear"/>
            <w:vAlign w:val="center"/>
          </w:tcPr>
          <w:p w:rsidR="00000000" w:rsidDel="00000000" w:rsidP="00000000" w:rsidRDefault="00000000" w:rsidRPr="00000000" w14:paraId="0000000F">
            <w:pPr>
              <w:ind w:right="-22"/>
              <w:rPr>
                <w:b w:val="1"/>
              </w:rPr>
            </w:pPr>
            <w:r w:rsidDel="00000000" w:rsidR="00000000" w:rsidRPr="00000000">
              <w:rPr>
                <w:b w:val="1"/>
                <w:rtl w:val="0"/>
              </w:rPr>
              <w:t xml:space="preserve">Next review:</w:t>
            </w:r>
          </w:p>
        </w:tc>
        <w:tc>
          <w:tcP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2" w:firstLine="0"/>
              <w:jc w:val="left"/>
              <w:rPr/>
            </w:pPr>
            <w:r w:rsidDel="00000000" w:rsidR="00000000" w:rsidRPr="00000000">
              <w:rPr>
                <w:rtl w:val="0"/>
              </w:rPr>
              <w:t xml:space="preserve">June 2027</w:t>
            </w:r>
          </w:p>
        </w:tc>
      </w:tr>
    </w:tbl>
    <w:p w:rsidR="00000000" w:rsidDel="00000000" w:rsidP="00000000" w:rsidRDefault="00000000" w:rsidRPr="00000000" w14:paraId="00000011">
      <w:pPr>
        <w:spacing w:after="0" w:line="240" w:lineRule="auto"/>
        <w:ind w:left="-426" w:right="-22" w:firstLine="0"/>
        <w:rPr>
          <w:b w:val="1"/>
        </w:rPr>
      </w:pPr>
      <w:r w:rsidDel="00000000" w:rsidR="00000000" w:rsidRPr="00000000">
        <w:rPr>
          <w:rtl w:val="0"/>
        </w:rPr>
      </w:r>
    </w:p>
    <w:p w:rsidR="00000000" w:rsidDel="00000000" w:rsidP="00000000" w:rsidRDefault="00000000" w:rsidRPr="00000000" w14:paraId="00000012">
      <w:pPr>
        <w:jc w:val="center"/>
        <w:rPr>
          <w:b w:val="1"/>
          <w:highlight w:val="yellow"/>
        </w:rPr>
      </w:pPr>
      <w:r w:rsidDel="00000000" w:rsidR="00000000" w:rsidRPr="00000000">
        <w:rPr>
          <w:rtl w:val="0"/>
        </w:rPr>
      </w:r>
    </w:p>
    <w:p w:rsidR="00000000" w:rsidDel="00000000" w:rsidP="00000000" w:rsidRDefault="00000000" w:rsidRPr="00000000" w14:paraId="00000013">
      <w:pPr>
        <w:tabs>
          <w:tab w:val="left" w:leader="none" w:pos="3090"/>
        </w:tabs>
        <w:spacing w:line="480" w:lineRule="auto"/>
        <w:jc w:val="center"/>
        <w:rPr>
          <w:b w:val="1"/>
          <w:highlight w:val="yellow"/>
        </w:rPr>
      </w:pPr>
      <w:r w:rsidDel="00000000" w:rsidR="00000000" w:rsidRPr="00000000">
        <w:rPr>
          <w:b w:val="1"/>
          <w:sz w:val="28"/>
          <w:szCs w:val="28"/>
          <w:rtl w:val="0"/>
        </w:rPr>
        <w:t xml:space="preserve">Post 16 Study Sessions procedure</w:t>
      </w:r>
      <w:r w:rsidDel="00000000" w:rsidR="00000000" w:rsidRPr="00000000">
        <w:rPr>
          <w:rtl w:val="0"/>
        </w:rPr>
      </w:r>
    </w:p>
    <w:p w:rsidR="00000000" w:rsidDel="00000000" w:rsidP="00000000" w:rsidRDefault="00000000" w:rsidRPr="00000000" w14:paraId="00000014">
      <w:pPr>
        <w:pStyle w:val="Heading1"/>
        <w:ind w:left="0" w:firstLine="0"/>
        <w:rPr/>
      </w:pPr>
      <w:bookmarkStart w:colFirst="0" w:colLast="0" w:name="_heading=h.5jnfjzsx1tk7" w:id="0"/>
      <w:bookmarkEnd w:id="0"/>
      <w:r w:rsidDel="00000000" w:rsidR="00000000" w:rsidRPr="00000000">
        <w:rPr>
          <w:rtl w:val="0"/>
        </w:rPr>
        <w:t xml:space="preserve">1. Aims</w:t>
      </w:r>
    </w:p>
    <w:p w:rsidR="00000000" w:rsidDel="00000000" w:rsidP="00000000" w:rsidRDefault="00000000" w:rsidRPr="00000000" w14:paraId="00000015">
      <w:pPr>
        <w:pStyle w:val="Heading1"/>
        <w:ind w:left="0" w:firstLine="0"/>
        <w:rPr/>
      </w:pPr>
      <w:bookmarkStart w:colFirst="0" w:colLast="0" w:name="_heading=h.no8xmsvqrst8" w:id="1"/>
      <w:bookmarkEnd w:id="1"/>
      <w:r w:rsidDel="00000000" w:rsidR="00000000" w:rsidRPr="00000000">
        <w:rPr>
          <w:b w:val="0"/>
          <w:rtl w:val="0"/>
        </w:rPr>
        <w:t xml:space="preserve">We expect students to attend all lessons on their timetable and extra compulsory lessons as required, this includes enrichment, tutor sessions, assemblies and supervised study sessions.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17">
      <w:pPr>
        <w:spacing w:after="0" w:line="240" w:lineRule="auto"/>
        <w:rPr>
          <w:b w:val="1"/>
        </w:rPr>
      </w:pPr>
      <w:r w:rsidDel="00000000" w:rsidR="00000000" w:rsidRPr="00000000">
        <w:rPr>
          <w:b w:val="1"/>
          <w:rtl w:val="0"/>
        </w:rPr>
        <w:t xml:space="preserve">2. </w:t>
      </w:r>
      <w:r w:rsidDel="00000000" w:rsidR="00000000" w:rsidRPr="00000000">
        <w:rPr>
          <w:b w:val="1"/>
          <w:rtl w:val="0"/>
        </w:rPr>
        <w:t xml:space="preserve">Year 12</w:t>
      </w:r>
    </w:p>
    <w:p w:rsidR="00000000" w:rsidDel="00000000" w:rsidP="00000000" w:rsidRDefault="00000000" w:rsidRPr="00000000" w14:paraId="00000018">
      <w:pPr>
        <w:spacing w:after="0" w:line="240" w:lineRule="auto"/>
        <w:rPr>
          <w:b w:val="1"/>
        </w:rPr>
      </w:pPr>
      <w:r w:rsidDel="00000000" w:rsidR="00000000" w:rsidRPr="00000000">
        <w:rPr>
          <w:rtl w:val="0"/>
        </w:rPr>
      </w:r>
    </w:p>
    <w:p w:rsidR="00000000" w:rsidDel="00000000" w:rsidP="00000000" w:rsidRDefault="00000000" w:rsidRPr="00000000" w14:paraId="00000019">
      <w:pPr>
        <w:spacing w:after="280" w:line="240" w:lineRule="auto"/>
        <w:rPr/>
      </w:pPr>
      <w:r w:rsidDel="00000000" w:rsidR="00000000" w:rsidRPr="00000000">
        <w:rPr>
          <w:rtl w:val="0"/>
        </w:rPr>
        <w:t xml:space="preserve">In Year 12 we expect students to be on campus from 8.40am-3.10pm every day. At Easter in Year 12 students are able to earn study sessions off-site based on the VESPA criteria: Full description can be found </w:t>
      </w:r>
      <w:hyperlink r:id="rId9">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1A">
      <w:pPr>
        <w:spacing w:after="280" w:line="240" w:lineRule="auto"/>
        <w:rPr/>
      </w:pPr>
      <w:r w:rsidDel="00000000" w:rsidR="00000000" w:rsidRPr="00000000">
        <w:rPr>
          <w:rtl w:val="0"/>
        </w:rPr>
        <w:t xml:space="preserve">                   </w:t>
      </w:r>
      <w:r w:rsidDel="00000000" w:rsidR="00000000" w:rsidRPr="00000000">
        <w:rPr/>
        <w:drawing>
          <wp:inline distB="19050" distT="19050" distL="19050" distR="19050">
            <wp:extent cx="966546" cy="966546"/>
            <wp:effectExtent b="0" l="0" r="0" t="0"/>
            <wp:docPr id="38"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966546" cy="966546"/>
                    </a:xfrm>
                    <a:prstGeom prst="rect"/>
                    <a:ln/>
                  </pic:spPr>
                </pic:pic>
              </a:graphicData>
            </a:graphic>
          </wp:inline>
        </w:drawing>
      </w:r>
      <w:r w:rsidDel="00000000" w:rsidR="00000000" w:rsidRPr="00000000">
        <w:rPr/>
        <w:drawing>
          <wp:inline distB="19050" distT="19050" distL="19050" distR="19050">
            <wp:extent cx="947496" cy="947496"/>
            <wp:effectExtent b="0" l="0" r="0" t="0"/>
            <wp:docPr id="35"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947496" cy="947496"/>
                    </a:xfrm>
                    <a:prstGeom prst="rect"/>
                    <a:ln/>
                  </pic:spPr>
                </pic:pic>
              </a:graphicData>
            </a:graphic>
          </wp:inline>
        </w:drawing>
      </w:r>
      <w:r w:rsidDel="00000000" w:rsidR="00000000" w:rsidRPr="00000000">
        <w:rPr/>
        <w:drawing>
          <wp:inline distB="19050" distT="19050" distL="19050" distR="19050">
            <wp:extent cx="947496" cy="947496"/>
            <wp:effectExtent b="0" l="0" r="0" t="0"/>
            <wp:docPr id="36" name="image8.jpg"/>
            <a:graphic>
              <a:graphicData uri="http://schemas.openxmlformats.org/drawingml/2006/picture">
                <pic:pic>
                  <pic:nvPicPr>
                    <pic:cNvPr id="0" name="image8.jpg"/>
                    <pic:cNvPicPr preferRelativeResize="0"/>
                  </pic:nvPicPr>
                  <pic:blipFill>
                    <a:blip r:embed="rId12"/>
                    <a:srcRect b="0" l="0" r="0" t="0"/>
                    <a:stretch>
                      <a:fillRect/>
                    </a:stretch>
                  </pic:blipFill>
                  <pic:spPr>
                    <a:xfrm>
                      <a:off x="0" y="0"/>
                      <a:ext cx="947496" cy="947496"/>
                    </a:xfrm>
                    <a:prstGeom prst="rect"/>
                    <a:ln/>
                  </pic:spPr>
                </pic:pic>
              </a:graphicData>
            </a:graphic>
          </wp:inline>
        </w:drawing>
      </w:r>
      <w:r w:rsidDel="00000000" w:rsidR="00000000" w:rsidRPr="00000000">
        <w:rPr/>
        <w:drawing>
          <wp:inline distB="19050" distT="19050" distL="19050" distR="19050">
            <wp:extent cx="928446" cy="928446"/>
            <wp:effectExtent b="0" l="0" r="0" t="0"/>
            <wp:docPr id="34"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928446" cy="928446"/>
                    </a:xfrm>
                    <a:prstGeom prst="rect"/>
                    <a:ln/>
                  </pic:spPr>
                </pic:pic>
              </a:graphicData>
            </a:graphic>
          </wp:inline>
        </w:drawing>
      </w:r>
      <w:r w:rsidDel="00000000" w:rsidR="00000000" w:rsidRPr="00000000">
        <w:rPr/>
        <w:drawing>
          <wp:inline distB="19050" distT="19050" distL="19050" distR="19050">
            <wp:extent cx="966546" cy="966546"/>
            <wp:effectExtent b="0" l="0" r="0" t="0"/>
            <wp:docPr id="37"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966546" cy="96654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280" w:line="240" w:lineRule="auto"/>
        <w:rPr/>
      </w:pPr>
      <w:r w:rsidDel="00000000" w:rsidR="00000000" w:rsidRPr="00000000">
        <w:rPr>
          <w:rtl w:val="0"/>
        </w:rPr>
        <w:t xml:space="preserve">Students can earn an hour for each subject studied at Post 16 (i.e. a maximum of 4 hours for 4 A Levels). The Head of Post 16 will be able to inform students of the number of hours earned and all decisions made by the Head of Post 16 will be final. Once the number of hours earned have been confirmed, students will decide which periods of the week they study off-site (we’ll keep a copy of this for our attendance records). Parental consent, requested on Arbor, will be required to study off-site.</w:t>
      </w:r>
    </w:p>
    <w:p w:rsidR="00000000" w:rsidDel="00000000" w:rsidP="00000000" w:rsidRDefault="00000000" w:rsidRPr="00000000" w14:paraId="0000001C">
      <w:pPr>
        <w:spacing w:after="0" w:line="240" w:lineRule="auto"/>
        <w:rPr>
          <w:b w:val="1"/>
        </w:rPr>
      </w:pPr>
      <w:r w:rsidDel="00000000" w:rsidR="00000000" w:rsidRPr="00000000">
        <w:rPr>
          <w:b w:val="1"/>
          <w:rtl w:val="0"/>
        </w:rPr>
        <w:t xml:space="preserve">3. Year 13</w:t>
      </w:r>
    </w:p>
    <w:p w:rsidR="00000000" w:rsidDel="00000000" w:rsidP="00000000" w:rsidRDefault="00000000" w:rsidRPr="00000000" w14:paraId="0000001D">
      <w:pPr>
        <w:spacing w:after="0" w:line="240" w:lineRule="auto"/>
        <w:rPr>
          <w:b w:val="1"/>
        </w:rPr>
      </w:pPr>
      <w:r w:rsidDel="00000000" w:rsidR="00000000" w:rsidRPr="00000000">
        <w:rPr>
          <w:rtl w:val="0"/>
        </w:rPr>
      </w:r>
    </w:p>
    <w:p w:rsidR="00000000" w:rsidDel="00000000" w:rsidP="00000000" w:rsidRDefault="00000000" w:rsidRPr="00000000" w14:paraId="0000001E">
      <w:pPr>
        <w:spacing w:after="280" w:line="240" w:lineRule="auto"/>
        <w:rPr/>
      </w:pPr>
      <w:r w:rsidDel="00000000" w:rsidR="00000000" w:rsidRPr="00000000">
        <w:rPr>
          <w:rtl w:val="0"/>
        </w:rPr>
        <w:t xml:space="preserve">In Year 13 we encourage students to study on-site. We feel that this is the best environment for learning and studying, with the support of expert staff. We provide students with spaces to study silently and collaboratively, which support the students to make academic progress. We expect students to attend daily registration with the tutor who will be responsible for writing the reference for Post 18 applications. Tutor time is an important session for students to stay up to date with notices, follow the PSHE programme, study the VESPA curriculum, complete Post 18 applications, and participate in the tutor time reading programme. However students will be able to earn more study sessions off-site, depending on progress, behaviour and attendance.</w:t>
      </w:r>
    </w:p>
    <w:p w:rsidR="00000000" w:rsidDel="00000000" w:rsidP="00000000" w:rsidRDefault="00000000" w:rsidRPr="00000000" w14:paraId="0000001F">
      <w:pPr>
        <w:spacing w:after="280" w:line="240" w:lineRule="auto"/>
        <w:rPr/>
      </w:pPr>
      <w:r w:rsidDel="00000000" w:rsidR="00000000" w:rsidRPr="00000000">
        <w:rPr>
          <w:rtl w:val="0"/>
        </w:rPr>
        <w:t xml:space="preserve">For example, a student will be allowed to leave site after their last lesson of the day as long as the student is meeting our expectations of progress, behaviour and attendance. The student will swipe their ID card at the gate, and with parental consent travel home to study. </w:t>
      </w:r>
    </w:p>
    <w:p w:rsidR="00000000" w:rsidDel="00000000" w:rsidP="00000000" w:rsidRDefault="00000000" w:rsidRPr="00000000" w14:paraId="00000020">
      <w:pPr>
        <w:spacing w:after="280" w:line="240" w:lineRule="auto"/>
        <w:rPr/>
      </w:pPr>
      <w:r w:rsidDel="00000000" w:rsidR="00000000" w:rsidRPr="00000000">
        <w:rPr>
          <w:rtl w:val="0"/>
        </w:rPr>
        <w:t xml:space="preserve">On rare occasions students may not have any lessons one day a fortnight. In this scenario we may allow students, in agreement with parents/carers, to work from home, but we expect students to attend a </w:t>
      </w:r>
      <w:r w:rsidDel="00000000" w:rsidR="00000000" w:rsidRPr="00000000">
        <w:rPr>
          <w:i w:val="1"/>
          <w:rtl w:val="0"/>
        </w:rPr>
        <w:t xml:space="preserve">Google Meet</w:t>
      </w:r>
      <w:r w:rsidDel="00000000" w:rsidR="00000000" w:rsidRPr="00000000">
        <w:rPr>
          <w:rtl w:val="0"/>
        </w:rPr>
        <w:t xml:space="preserve"> during registration. This is accessed through the tutor Google Classroom. If the student fails to attend the online session, attendance will be marked as absent and a detention issued, and parents/carers will be contacted. This is for safeguarding purposes, we need to ensure that our students are safe during the campus day. Parental consent will be sought for permission to study off-site your card will not allow you to exit the campus without consent.  Consent will be requested through </w:t>
      </w:r>
      <w:r w:rsidDel="00000000" w:rsidR="00000000" w:rsidRPr="00000000">
        <w:rPr>
          <w:rtl w:val="0"/>
        </w:rPr>
        <w:t xml:space="preserve">Arbor</w:t>
      </w:r>
      <w:r w:rsidDel="00000000" w:rsidR="00000000" w:rsidRPr="00000000">
        <w:rPr>
          <w:rtl w:val="0"/>
        </w:rPr>
        <w:t xml:space="preserve">.</w:t>
      </w:r>
    </w:p>
    <w:p w:rsidR="00000000" w:rsidDel="00000000" w:rsidP="00000000" w:rsidRDefault="00000000" w:rsidRPr="00000000" w14:paraId="00000021">
      <w:pPr>
        <w:spacing w:after="280" w:line="240" w:lineRule="auto"/>
        <w:rPr/>
      </w:pPr>
      <w:r w:rsidDel="00000000" w:rsidR="00000000" w:rsidRPr="00000000">
        <w:rPr>
          <w:rtl w:val="0"/>
        </w:rPr>
        <w:t xml:space="preserve">If a student falls below our expectations of progress, behaviour and attendance (based on VESPA Criteria), the privilege of being off-site will be removed, and we will expect students to study on-site for the school day (8.40am-3.10pm) until the next reporting cycle.</w:t>
      </w:r>
      <w:r w:rsidDel="00000000" w:rsidR="00000000" w:rsidRPr="00000000">
        <w:rPr>
          <w:rtl w:val="0"/>
        </w:rPr>
      </w:r>
    </w:p>
    <w:p w:rsidR="00000000" w:rsidDel="00000000" w:rsidP="00000000" w:rsidRDefault="00000000" w:rsidRPr="00000000" w14:paraId="00000022">
      <w:pPr>
        <w:shd w:fill="ffffff" w:val="clear"/>
        <w:spacing w:after="0" w:line="240" w:lineRule="auto"/>
        <w:ind w:left="0" w:firstLine="0"/>
        <w:rPr/>
      </w:pPr>
      <w:r w:rsidDel="00000000" w:rsidR="00000000" w:rsidRPr="00000000">
        <w:rPr>
          <w:rtl w:val="0"/>
        </w:rPr>
      </w:r>
    </w:p>
    <w:p w:rsidR="00000000" w:rsidDel="00000000" w:rsidP="00000000" w:rsidRDefault="00000000" w:rsidRPr="00000000" w14:paraId="00000023">
      <w:pPr>
        <w:pStyle w:val="Heading1"/>
        <w:ind w:left="360" w:hanging="360"/>
        <w:rPr/>
      </w:pPr>
      <w:bookmarkStart w:colFirst="0" w:colLast="0" w:name="_heading=h.hl0n2q6wutgu" w:id="2"/>
      <w:bookmarkEnd w:id="2"/>
      <w:r w:rsidDel="00000000" w:rsidR="00000000" w:rsidRPr="00000000">
        <w:rPr>
          <w:rtl w:val="0"/>
        </w:rPr>
        <w:t xml:space="preserve">4. Links to other policies </w:t>
      </w:r>
    </w:p>
    <w:p w:rsidR="00000000" w:rsidDel="00000000" w:rsidP="00000000" w:rsidRDefault="00000000" w:rsidRPr="00000000" w14:paraId="00000024">
      <w:pPr>
        <w:pStyle w:val="Heading1"/>
        <w:ind w:left="0" w:firstLine="0"/>
        <w:rPr>
          <w:b w:val="0"/>
        </w:rPr>
      </w:pPr>
      <w:r w:rsidDel="00000000" w:rsidR="00000000" w:rsidRPr="00000000">
        <w:rPr>
          <w:b w:val="0"/>
          <w:rtl w:val="0"/>
        </w:rPr>
        <w:t xml:space="preserve">5.1 This procedure is linked to our:</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Attendance policy</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Post 16 handbook</w:t>
      </w:r>
    </w:p>
    <w:sectPr>
      <w:footerReference r:id="rId15" w:type="default"/>
      <w:footerReference r:id="rId16" w:type="first"/>
      <w:pgSz w:h="16838" w:w="11906" w:orient="portrait"/>
      <w:pgMar w:bottom="1440" w:top="1440" w:left="1440" w:right="1440" w:header="708" w:footer="99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-906777</wp:posOffset>
          </wp:positionH>
          <wp:positionV relativeFrom="paragraph">
            <wp:posOffset>-504982</wp:posOffset>
          </wp:positionV>
          <wp:extent cx="7552690" cy="1436370"/>
          <wp:effectExtent b="0" l="0" r="0" t="0"/>
          <wp:wrapNone/>
          <wp:docPr id="3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52690" cy="1436370"/>
                  </a:xfrm>
                  <a:prstGeom prst="rect"/>
                  <a:ln/>
                </pic:spPr>
              </pic:pic>
            </a:graphicData>
          </a:graphic>
        </wp:anchor>
      </w:drawing>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0" w:lineRule="auto"/>
      <w:ind w:left="0"/>
    </w:pPr>
    <w:rPr>
      <w:b w:val="1"/>
    </w:rPr>
  </w:style>
  <w:style w:type="paragraph" w:styleId="Heading2">
    <w:name w:val="heading 2"/>
    <w:basedOn w:val="Normal"/>
    <w:next w:val="Normal"/>
    <w:pPr>
      <w:spacing w:after="0" w:lineRule="auto"/>
      <w:ind w:left="0"/>
    </w:pPr>
    <w:rPr>
      <w:b w:val="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Comic Sans MS" w:cs="Comic Sans MS" w:eastAsia="Comic Sans MS" w:hAnsi="Comic Sans MS"/>
      <w:b w:val="1"/>
      <w:sz w:val="24"/>
      <w:szCs w:val="24"/>
      <w:u w:val="singl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C872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63A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3A9E"/>
  </w:style>
  <w:style w:type="paragraph" w:styleId="Footer">
    <w:name w:val="footer"/>
    <w:basedOn w:val="Normal"/>
    <w:link w:val="FooterChar"/>
    <w:uiPriority w:val="99"/>
    <w:unhideWhenUsed w:val="1"/>
    <w:rsid w:val="00363A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3A9E"/>
  </w:style>
  <w:style w:type="paragraph" w:styleId="ListParagraph">
    <w:name w:val="List Paragraph"/>
    <w:basedOn w:val="Normal"/>
    <w:uiPriority w:val="34"/>
    <w:qFormat w:val="1"/>
    <w:rsid w:val="00363A9E"/>
    <w:pPr>
      <w:ind w:left="720"/>
      <w:contextualSpacing w:val="1"/>
    </w:pPr>
  </w:style>
  <w:style w:type="character" w:styleId="Heading1Char" w:customStyle="1">
    <w:name w:val="Heading 1 Char"/>
    <w:basedOn w:val="DefaultParagraphFont"/>
    <w:link w:val="Heading1"/>
    <w:uiPriority w:val="9"/>
    <w:rsid w:val="00EB0DC0"/>
    <w:rPr>
      <w:b w:val="1"/>
    </w:rPr>
  </w:style>
  <w:style w:type="character" w:styleId="Heading2Char" w:customStyle="1">
    <w:name w:val="Heading 2 Char"/>
    <w:basedOn w:val="DefaultParagraphFont"/>
    <w:link w:val="Heading2"/>
    <w:uiPriority w:val="9"/>
    <w:rsid w:val="00EB0DC0"/>
  </w:style>
  <w:style w:type="paragraph" w:styleId="TOCHeading">
    <w:name w:val="TOC Heading"/>
    <w:basedOn w:val="Heading1"/>
    <w:next w:val="Normal"/>
    <w:uiPriority w:val="39"/>
    <w:unhideWhenUsed w:val="1"/>
    <w:qFormat w:val="1"/>
    <w:rsid w:val="00A7492F"/>
    <w:pPr>
      <w:keepNext w:val="1"/>
      <w:keepLines w:val="1"/>
      <w:spacing w:before="240"/>
      <w:contextualSpacing w:val="0"/>
      <w:outlineLvl w:val="9"/>
    </w:pPr>
    <w:rPr>
      <w:rFonts w:asciiTheme="majorHAnsi" w:cstheme="majorBidi" w:eastAsiaTheme="majorEastAsia" w:hAnsiTheme="majorHAnsi"/>
      <w:b w:val="0"/>
      <w:color w:val="2e74b5" w:themeColor="accent1" w:themeShade="0000BF"/>
      <w:sz w:val="32"/>
      <w:szCs w:val="32"/>
      <w:lang w:val="en-US"/>
    </w:rPr>
  </w:style>
  <w:style w:type="paragraph" w:styleId="TOC2">
    <w:name w:val="toc 2"/>
    <w:basedOn w:val="Normal"/>
    <w:next w:val="Normal"/>
    <w:autoRedefine w:val="1"/>
    <w:uiPriority w:val="39"/>
    <w:unhideWhenUsed w:val="1"/>
    <w:rsid w:val="00A7492F"/>
    <w:pPr>
      <w:spacing w:after="100"/>
      <w:ind w:left="220"/>
    </w:pPr>
  </w:style>
  <w:style w:type="paragraph" w:styleId="TOC1">
    <w:name w:val="toc 1"/>
    <w:basedOn w:val="Normal"/>
    <w:next w:val="Normal"/>
    <w:autoRedefine w:val="1"/>
    <w:uiPriority w:val="39"/>
    <w:unhideWhenUsed w:val="1"/>
    <w:rsid w:val="00A7492F"/>
    <w:pPr>
      <w:spacing w:after="100"/>
    </w:pPr>
  </w:style>
  <w:style w:type="character" w:styleId="Hyperlink">
    <w:name w:val="Hyperlink"/>
    <w:basedOn w:val="DefaultParagraphFont"/>
    <w:uiPriority w:val="99"/>
    <w:unhideWhenUsed w:val="1"/>
    <w:rsid w:val="00A7492F"/>
    <w:rPr>
      <w:color w:val="0563c1" w:themeColor="hyperlink"/>
      <w:u w:val="single"/>
    </w:rPr>
  </w:style>
  <w:style w:type="paragraph" w:styleId="NormalWeb">
    <w:name w:val="Normal (Web)"/>
    <w:basedOn w:val="Normal"/>
    <w:uiPriority w:val="99"/>
    <w:semiHidden w:val="1"/>
    <w:unhideWhenUsed w:val="1"/>
    <w:rsid w:val="00E77134"/>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E77134"/>
    <w:rPr>
      <w:b w:val="1"/>
      <w:bCs w:val="1"/>
    </w:rPr>
  </w:style>
  <w:style w:type="character" w:styleId="Emphasis">
    <w:name w:val="Emphasis"/>
    <w:basedOn w:val="DefaultParagraphFont"/>
    <w:uiPriority w:val="20"/>
    <w:qFormat w:val="1"/>
    <w:rsid w:val="00E77134"/>
    <w:rPr>
      <w:i w:val="1"/>
      <w:iCs w:val="1"/>
    </w:rPr>
  </w:style>
  <w:style w:type="character" w:styleId="CommentReference">
    <w:name w:val="annotation reference"/>
    <w:basedOn w:val="DefaultParagraphFont"/>
    <w:uiPriority w:val="99"/>
    <w:semiHidden w:val="1"/>
    <w:unhideWhenUsed w:val="1"/>
    <w:rsid w:val="005F22F7"/>
    <w:rPr>
      <w:sz w:val="16"/>
      <w:szCs w:val="16"/>
    </w:rPr>
  </w:style>
  <w:style w:type="paragraph" w:styleId="CommentText">
    <w:name w:val="annotation text"/>
    <w:basedOn w:val="Normal"/>
    <w:link w:val="CommentTextChar"/>
    <w:uiPriority w:val="99"/>
    <w:unhideWhenUsed w:val="1"/>
    <w:rsid w:val="005F22F7"/>
    <w:pPr>
      <w:spacing w:line="240" w:lineRule="auto"/>
    </w:pPr>
    <w:rPr>
      <w:sz w:val="20"/>
      <w:szCs w:val="20"/>
    </w:rPr>
  </w:style>
  <w:style w:type="character" w:styleId="CommentTextChar" w:customStyle="1">
    <w:name w:val="Comment Text Char"/>
    <w:basedOn w:val="DefaultParagraphFont"/>
    <w:link w:val="CommentText"/>
    <w:uiPriority w:val="99"/>
    <w:rsid w:val="005F22F7"/>
    <w:rPr>
      <w:sz w:val="20"/>
      <w:szCs w:val="20"/>
    </w:rPr>
  </w:style>
  <w:style w:type="paragraph" w:styleId="CommentSubject">
    <w:name w:val="annotation subject"/>
    <w:basedOn w:val="CommentText"/>
    <w:next w:val="CommentText"/>
    <w:link w:val="CommentSubjectChar"/>
    <w:uiPriority w:val="99"/>
    <w:semiHidden w:val="1"/>
    <w:unhideWhenUsed w:val="1"/>
    <w:rsid w:val="005F22F7"/>
    <w:rPr>
      <w:b w:val="1"/>
      <w:bCs w:val="1"/>
    </w:rPr>
  </w:style>
  <w:style w:type="character" w:styleId="CommentSubjectChar" w:customStyle="1">
    <w:name w:val="Comment Subject Char"/>
    <w:basedOn w:val="CommentTextChar"/>
    <w:link w:val="CommentSubject"/>
    <w:uiPriority w:val="99"/>
    <w:semiHidden w:val="1"/>
    <w:rsid w:val="005F22F7"/>
    <w:rPr>
      <w:b w:val="1"/>
      <w:bCs w:val="1"/>
      <w:sz w:val="20"/>
      <w:szCs w:val="20"/>
    </w:rPr>
  </w:style>
  <w:style w:type="paragraph" w:styleId="Revision">
    <w:name w:val="Revision"/>
    <w:hidden w:val="1"/>
    <w:uiPriority w:val="99"/>
    <w:semiHidden w:val="1"/>
    <w:rsid w:val="002C2640"/>
    <w:pPr>
      <w:spacing w:after="0" w:line="240" w:lineRule="auto"/>
    </w:pPr>
  </w:style>
  <w:style w:type="character" w:styleId="UnresolvedMention">
    <w:name w:val="Unresolved Mention"/>
    <w:basedOn w:val="DefaultParagraphFont"/>
    <w:uiPriority w:val="99"/>
    <w:semiHidden w:val="1"/>
    <w:unhideWhenUsed w:val="1"/>
    <w:rsid w:val="002C2640"/>
    <w:rPr>
      <w:color w:val="605e5c"/>
      <w:shd w:color="auto" w:fill="e1dfdd" w:val="clear"/>
    </w:rPr>
  </w:style>
  <w:style w:type="character" w:styleId="TitleChar" w:customStyle="1">
    <w:name w:val="Title Char"/>
    <w:basedOn w:val="DefaultParagraphFont"/>
    <w:link w:val="Title"/>
    <w:rsid w:val="00050503"/>
    <w:rPr>
      <w:rFonts w:ascii="Comic Sans MS" w:cs="Arial" w:eastAsia="Times New Roman" w:hAnsi="Comic Sans MS"/>
      <w:b w:val="1"/>
      <w:bCs w:val="1"/>
      <w:sz w:val="24"/>
      <w:szCs w:val="24"/>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7.jpg"/><Relationship Id="rId13" Type="http://schemas.openxmlformats.org/officeDocument/2006/relationships/image" Target="media/image5.jpg"/><Relationship Id="rId12"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lOR1MNdHB3cpTAcvqb4UdBA38l7aT_d5a9k6YfibpZE/edit?usp=sharing" TargetMode="External"/><Relationship Id="rId15" Type="http://schemas.openxmlformats.org/officeDocument/2006/relationships/footer" Target="footer1.xml"/><Relationship Id="rId14" Type="http://schemas.openxmlformats.org/officeDocument/2006/relationships/image" Target="media/image4.jpg"/><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hS3rM/hwq+K9CGpGVixghG7Bng==">CgMxLjAyDmguNWpuZmp6c3gxdGs3Mg5oLm5vOHhtc3ZxcnN0ODIOaC5obDBuMnE2d3V0Z3U4AHIhMWIybkdXQ2N4RTg0TEJRbVBVS2tSQkRMUG00UWtEZXNp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2025-06-26T19:06:00Z</dcterms:created>
  <dc:creator>Charlotte Johnston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e2a56-af49-4a87-8d01-0ad3300d8c60_Enabled">
    <vt:lpwstr>true</vt:lpwstr>
  </property>
  <property fmtid="{D5CDD505-2E9C-101B-9397-08002B2CF9AE}" pid="3" name="MSIP_Label_d6fe2a56-af49-4a87-8d01-0ad3300d8c60_SetDate">
    <vt:lpwstr>2024-11-03T20:45:21Z</vt:lpwstr>
  </property>
  <property fmtid="{D5CDD505-2E9C-101B-9397-08002B2CF9AE}" pid="4" name="MSIP_Label_d6fe2a56-af49-4a87-8d01-0ad3300d8c60_Method">
    <vt:lpwstr>Standard</vt:lpwstr>
  </property>
  <property fmtid="{D5CDD505-2E9C-101B-9397-08002B2CF9AE}" pid="5" name="MSIP_Label_d6fe2a56-af49-4a87-8d01-0ad3300d8c60_Name">
    <vt:lpwstr>defa4170-0d19-0005-0004-bc88714345d2</vt:lpwstr>
  </property>
  <property fmtid="{D5CDD505-2E9C-101B-9397-08002B2CF9AE}" pid="6" name="MSIP_Label_d6fe2a56-af49-4a87-8d01-0ad3300d8c60_SiteId">
    <vt:lpwstr>51640577-21a1-4ce3-8bc8-5bb90cabad75</vt:lpwstr>
  </property>
  <property fmtid="{D5CDD505-2E9C-101B-9397-08002B2CF9AE}" pid="7" name="MSIP_Label_d6fe2a56-af49-4a87-8d01-0ad3300d8c60_ActionId">
    <vt:lpwstr>4bf50be0-1c1a-4c73-8e41-cb80c1137d8e</vt:lpwstr>
  </property>
  <property fmtid="{D5CDD505-2E9C-101B-9397-08002B2CF9AE}" pid="8" name="MSIP_Label_d6fe2a56-af49-4a87-8d01-0ad3300d8c60_ContentBits">
    <vt:lpwstr>0</vt:lpwstr>
  </property>
  <property fmtid="{D5CDD505-2E9C-101B-9397-08002B2CF9AE}" pid="9" name="ContentTypeId">
    <vt:lpwstr>0x0101008B2383B14C9B8643AEF2C65481DD0221</vt:lpwstr>
  </property>
</Properties>
</file>