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6448426</wp:posOffset>
            </wp:positionH>
            <wp:positionV relativeFrom="page">
              <wp:posOffset>140925</wp:posOffset>
            </wp:positionV>
            <wp:extent cx="790575" cy="857250"/>
            <wp:effectExtent b="0" l="0" r="0" t="0"/>
            <wp:wrapSquare wrapText="bothSides" distB="0" distT="0" distL="114300" distR="11430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7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2476500</wp:posOffset>
            </wp:positionH>
            <wp:positionV relativeFrom="paragraph">
              <wp:posOffset>114300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402862</wp:posOffset>
            </wp:positionH>
            <wp:positionV relativeFrom="paragraph">
              <wp:posOffset>114300</wp:posOffset>
            </wp:positionV>
            <wp:extent cx="527231" cy="527231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31" cy="5272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568688" cy="568688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88" cy="568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3110438</wp:posOffset>
            </wp:positionH>
            <wp:positionV relativeFrom="paragraph">
              <wp:posOffset>114300</wp:posOffset>
            </wp:positionV>
            <wp:extent cx="619125" cy="619125"/>
            <wp:effectExtent b="0" l="0" r="0" t="0"/>
            <wp:wrapTopAndBottom distB="114300" distT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1924050</wp:posOffset>
            </wp:positionH>
            <wp:positionV relativeFrom="paragraph">
              <wp:posOffset>114300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138113</wp:posOffset>
            </wp:positionV>
            <wp:extent cx="523875" cy="523875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862013</wp:posOffset>
            </wp:positionH>
            <wp:positionV relativeFrom="paragraph">
              <wp:posOffset>114300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Health and Social Care Newsletter  - 2025/26 -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2093550</wp:posOffset>
            </wp:positionH>
            <wp:positionV relativeFrom="page">
              <wp:posOffset>5579363</wp:posOffset>
            </wp:positionV>
            <wp:extent cx="419100" cy="419100"/>
            <wp:effectExtent b="0" l="0" r="0" t="0"/>
            <wp:wrapSquare wrapText="bothSides" distB="0" distT="0" distL="114300" distR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Amy MacLachlan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Lead of Health and Social Care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amaclachlan@brookvalegroby.com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Michelle Richardson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Teacher of Health and Social Care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mrichardson@brookvalegroby-tmet.uk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Joshua Leonard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Teacher of Health and Social Care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jleonard@brookvalegroby-tmet.uk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11 are learning this term: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8"/>
                <w:szCs w:val="28"/>
                <w:rtl w:val="0"/>
              </w:rPr>
              <w:t xml:space="preserve">Component 2: Health and social care services and values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Learning Aim A: Understanding the different types of health and social care services and barriers to accessing them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Primary, Secondary and Tertiary care providers. 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What stops someone from accessing the services they need?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 physical, sensory, learning, geographical, financial, social, cultural, psychological.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Learning Aim B: Understanding the skills, attributes and values to provide care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Observation and organisational skills, honest and patient attributes and committed and caring values. </w:t>
            </w:r>
          </w:p>
        </w:tc>
      </w:tr>
    </w:tbl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6696076</wp:posOffset>
            </wp:positionH>
            <wp:positionV relativeFrom="page">
              <wp:posOffset>9451047</wp:posOffset>
            </wp:positionV>
            <wp:extent cx="619125" cy="608450"/>
            <wp:effectExtent b="0" l="0" r="0" t="0"/>
            <wp:wrapNone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4151925</wp:posOffset>
            </wp:positionH>
            <wp:positionV relativeFrom="page">
              <wp:posOffset>9217684</wp:posOffset>
            </wp:positionV>
            <wp:extent cx="614705" cy="614705"/>
            <wp:effectExtent b="0" l="0" r="0" t="0"/>
            <wp:wrapNone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1683975</wp:posOffset>
            </wp:positionH>
            <wp:positionV relativeFrom="page">
              <wp:posOffset>9217684</wp:posOffset>
            </wp:positionV>
            <wp:extent cx="619125" cy="619125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“Step into the NHS” website: </w:t>
            </w:r>
            <w:hyperlink r:id="rId2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https://www.stepintothenhs.nhs.uk/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This will help students to explore NHS careers. 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will also explore HSC careers during their lessons. 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In addition to this we focus on the skills needed to </w:t>
              <w:br w:type="textWrapping"/>
              <w:t xml:space="preserve">pursue a career in 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HSC.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are set homework that will aid with their upcoming internal assessment (coursework). 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These tasks vary, however, they can be found under the “homework” tab on the Google Classroom.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Year 11 students have the following assessments: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Component 2 Working in Health and Social care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 (September/October 2025) 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Component 3</w:t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Health and Wellbeing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 (May 2026)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Some students will also be re-sitting their component 1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(October 2025)</w:t>
              <w:br w:type="textWrapping"/>
              <w:t xml:space="preserve">You have already been</w:t>
              <w:br w:type="textWrapping"/>
              <w:t xml:space="preserve">contacted about this. </w:t>
            </w:r>
          </w:p>
        </w:tc>
      </w:tr>
    </w:tbl>
    <w:p w:rsidR="00000000" w:rsidDel="00000000" w:rsidP="00000000" w:rsidRDefault="00000000" w:rsidRPr="00000000" w14:paraId="0000003D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21" Type="http://schemas.openxmlformats.org/officeDocument/2006/relationships/hyperlink" Target="https://www.stepintothenhs.nhs.uk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mailto:amaclachlan@brookvalegroby.com" TargetMode="External"/><Relationship Id="rId14" Type="http://schemas.openxmlformats.org/officeDocument/2006/relationships/image" Target="media/image1.png"/><Relationship Id="rId17" Type="http://schemas.openxmlformats.org/officeDocument/2006/relationships/hyperlink" Target="mailto:jleonard@brookvalegroby-tmet.uk" TargetMode="External"/><Relationship Id="rId16" Type="http://schemas.openxmlformats.org/officeDocument/2006/relationships/hyperlink" Target="mailto:mrichardson@brookvalegroby-tmet.uk" TargetMode="Externa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0.png"/><Relationship Id="rId18" Type="http://schemas.openxmlformats.org/officeDocument/2006/relationships/image" Target="media/image11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