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3" name="image4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4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4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3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Unit 27:  Musical Theatre Techni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A: Understand the key features of musical theatre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investigated different musical theatre styles/genres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understood forms, structures, themes and characters used in musical theatre.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understood the functions of music, dance and dramatic elements and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watched and analysed musical theatre production 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watched and analysed musical theatre production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watched and  analysed musical theatre production 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written a report explaining the key features of musical theatre used in three different examples of musical theatre repertoire. (PASS)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written a report explaining and analysing the key features of musical theatre used in three different examples of musical theatre repertoire. (MERIT)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written a report explaining, analysing and evaluating the key features of musical theatre used in three different examples of musical theatre repertoire and compared and contrasted them.. (DISTINCTION)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explored and researched aspects of the repertoire.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B: Develop skills and techniques in musical theatre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analysed my strengths and areas for improvement  (skills audit)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identified three main skills to improve over the 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planned how to develop my targeted skills.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participated in skills development classes.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skills development exercises in rehearsals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completed skills development exercises outside of class.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(peer, teacher, self) to support my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monitored and reviewed my skills development (log)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C: Apply musical theatre skills and techniques to a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understood what makes good rehearsal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adhered to health and safety rules in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worked with others in rehearsals (where necessary)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worked  independently in rehearsal (where necessary)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well prepared for rehearsals (e.g line learning,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able to follow direction from others (director, choreographer, musical director)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key features and creative intentions of my performance repertoire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selected suitable skills to apply to communicate the key features and creative intentions of the piece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technical skills in rehearsal.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performance skills in rehearsals.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interpretive skills  in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used feedback to support my use of skills.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monitored and reviewed my effective use of skills (Log)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technical skills in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interpretive skills in performance.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applied my performance skills in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communicated the creative intentions of the piece in the performance.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D: Review personal development and own performance.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included details of the development activities completed in rehearsals in my log.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the development of my acting skills in rehearsals.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the development of my dance skills in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the development of my singing skills in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response to direction in rehearsals.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strengths throughout rehearsals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areas to improve throughout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targets for further development.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explained and evaluated my actions in response to targets.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evidenced that my targets have been developed.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professional practice.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applications of acting, dance and singing skills in performance.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my communication of creative intentions and key features of the performance.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reviewed and evaluated areas for improvements in the future.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set targets for future improvements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