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Comp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onent 3:  Responding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Y11PA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Y11PA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AO1 Understand how to respond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Analyse a WAGOLL (exam brief and performance)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Analyse and understand the brief given from the exam 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Analyse the needs of the target audience.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Explore the set theme.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Workshop and explore potential ideas.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how ideas effectively meet the brief.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chosen idea (structure, style, creative intentions)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Direct, devise, script, compose, choreograph ideas.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your ideas and performance piece making sure it meets the commission brief.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notes of ideas, ideas and practical task completed to develop ideas for the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notes to take into the exam.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AO2 Select and develop skills and techniques in response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Review skills identifying strengths that can be applied to the performance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Review skills and identify skills that need to be developed for the success of the performance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Identify the skills and techniques required for the style of the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Apply skills and techniques during rehearsals.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Consider how practitioners can influence your development of 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 and refine your performance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to improve the piece.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to develop your performance.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notes on your role, application of skills, development of skills and contribution to rehearsals.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notes to take into the exam.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AO3 Apply skills and techniques in a workshop performance in response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Thoroughly rehearse performance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 a technical and dress run.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feedback to ensure you are applying skills and techniques effectively.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piece to the best of your 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AO4 Evaluate the development process and outcome in response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Watch your performance.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your development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groups development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your ideas.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outcome in response to a brief.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your performance and use of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the groups performance and use of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key strengths of your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Evaluate areas for further development.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Prepare notes to take into the exam.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