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5927090</wp:posOffset>
            </wp:positionH>
            <wp:positionV relativeFrom="page">
              <wp:posOffset>180340</wp:posOffset>
            </wp:positionV>
            <wp:extent cx="1041400" cy="1212850"/>
            <wp:effectExtent b="0" l="0" r="0" t="0"/>
            <wp:wrapSquare wrapText="bothSides" distB="0" distT="0" distL="114300" distR="114300"/>
            <wp:docPr id="7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212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sz w:val="2"/>
          <w:szCs w:val="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73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73"/>
        <w:tblGridChange w:id="0">
          <w:tblGrid>
            <w:gridCol w:w="10973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-11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GCSE Media - Year 10 - (Autumn term)</w:t>
            </w:r>
          </w:p>
        </w:tc>
      </w:tr>
    </w:tbl>
    <w:p w:rsidR="00000000" w:rsidDel="00000000" w:rsidP="00000000" w:rsidRDefault="00000000" w:rsidRPr="00000000" w14:paraId="0000001E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6362700</wp:posOffset>
            </wp:positionH>
            <wp:positionV relativeFrom="page">
              <wp:posOffset>5130006</wp:posOffset>
            </wp:positionV>
            <wp:extent cx="881351" cy="881351"/>
            <wp:effectExtent b="0" l="0" r="0" t="0"/>
            <wp:wrapNone/>
            <wp:docPr id="7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55"/>
        <w:gridCol w:w="375"/>
        <w:gridCol w:w="7695"/>
        <w:tblGridChange w:id="0">
          <w:tblGrid>
            <w:gridCol w:w="2955"/>
            <w:gridCol w:w="375"/>
            <w:gridCol w:w="7695"/>
          </w:tblGrid>
        </w:tblGridChange>
      </w:tblGrid>
      <w:tr>
        <w:trPr>
          <w:cantSplit w:val="0"/>
          <w:trHeight w:val="5221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Mr Male - Subject Leader for GCSE Media</w:t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Please don’t hesitate to contact me if you want any additional information about your child’s course of study or any concerns you may have about lessons.</w:t>
            </w:r>
          </w:p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color w:val="4a86e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color w:val="4a86e8"/>
                <w:rtl w:val="0"/>
              </w:rPr>
              <w:t xml:space="preserve">mmale@brookvalegroby-tmet.uk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color w:val="4a86e8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38100</wp:posOffset>
                  </wp:positionV>
                  <wp:extent cx="454977" cy="454977"/>
                  <wp:effectExtent b="0" l="0" r="0" t="0"/>
                  <wp:wrapNone/>
                  <wp:docPr id="7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77" cy="4549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color w:val="4a86e8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color w:val="4a86e8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  <w:rtl w:val="0"/>
              </w:rPr>
              <w:t xml:space="preserve">Topic 1: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Introduction to media concepts: Audience, Representation, Media Language. In the first few weeks of the course we will look at a variety of texts, both print and audio-visual. 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We look at magazines, film posters, music videos and film trailers amongst other things. We use them to explore the key concepts of Representation, Audience and Media Language.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  <w:rtl w:val="0"/>
              </w:rPr>
              <w:t xml:space="preserve">Topic 2: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Component 2A Music. In this section we look at music videos such as Teenage Dirtbag and Sk8ter Boi, music magazines like MOJO and Radio 1 Live Lounge, and compare these with unseen texts ready for comparison in the exam.</w:t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Fira Sans Extra Condensed" w:cs="Fira Sans Extra Condensed" w:eastAsia="Fira Sans Extra Condensed" w:hAnsi="Fira Sans Extra Condensed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390"/>
        <w:gridCol w:w="3405"/>
        <w:gridCol w:w="390"/>
        <w:gridCol w:w="3420"/>
        <w:tblGridChange w:id="0">
          <w:tblGrid>
            <w:gridCol w:w="3405"/>
            <w:gridCol w:w="390"/>
            <w:gridCol w:w="3405"/>
            <w:gridCol w:w="390"/>
            <w:gridCol w:w="3420"/>
          </w:tblGrid>
        </w:tblGridChange>
      </w:tblGrid>
      <w:tr>
        <w:trPr>
          <w:cantSplit w:val="0"/>
          <w:trHeight w:val="453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3865792</wp:posOffset>
                  </wp:positionH>
                  <wp:positionV relativeFrom="paragraph">
                    <wp:posOffset>114300</wp:posOffset>
                  </wp:positionV>
                  <wp:extent cx="614705" cy="614705"/>
                  <wp:effectExtent b="0" l="0" r="0" t="0"/>
                  <wp:wrapSquare wrapText="bothSides" distB="114300" distT="114300" distL="114300" distR="114300"/>
                  <wp:docPr id="7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05" cy="614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There are several interesting, entertaining Youtube channels which explore aspects of media theory: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u w:val="single"/>
                  <w:rtl w:val="0"/>
                </w:rPr>
                <w:t xml:space="preserve">Every Frame A Painting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u w:val="single"/>
                  <w:rtl w:val="0"/>
                </w:rPr>
                <w:t xml:space="preserve">Thomas Flight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 Extra Condensed" w:cs="Fira Sans Extra Condensed" w:eastAsia="Fira Sans Extra Condensed" w:hAnsi="Fira Sans Extra Condensed"/>
              </w:rPr>
            </w:pPr>
            <w:hyperlink r:id="rId13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u w:val="single"/>
                  <w:rtl w:val="0"/>
                </w:rPr>
                <w:t xml:space="preserve">Lessons From The Screenplay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331470</wp:posOffset>
                  </wp:positionV>
                  <wp:extent cx="619125" cy="619125"/>
                  <wp:effectExtent b="0" l="0" r="0" t="0"/>
                  <wp:wrapNone/>
                  <wp:docPr id="7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D">
            <w:pPr>
              <w:widowControl w:val="0"/>
              <w:rPr>
                <w:rFonts w:ascii="Fira Sans Extra Condensed" w:cs="Fira Sans Extra Condensed" w:eastAsia="Fira Sans Extra Condensed" w:hAnsi="Fira Sans Extra Condensed"/>
                <w:color w:val="0000ff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All homework is set via the Google Classroom on a weekly basis. If there is not specific homework, it will either be Quick Quizzes to revise for using teaching resources, or Knowledge Organiser work. We follow the school’s 20/20/20 policy, so at least one hour a week for this subject should be spent revising Knowledge Organisers or the work done that week on the Google Classroom.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2093595</wp:posOffset>
                  </wp:positionV>
                  <wp:extent cx="614705" cy="614705"/>
                  <wp:effectExtent b="0" l="0" r="0" t="0"/>
                  <wp:wrapSquare wrapText="bothSides" distB="114300" distT="114300" distL="114300" distR="114300"/>
                  <wp:docPr id="7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05" cy="614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  <w:rtl w:val="0"/>
              </w:rPr>
              <w:t xml:space="preserve">Wk 5</w:t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Media Language and Representation. Students will be given at least two different media print texts on which they will answer questions exploring Media Language and Representation.</w:t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24"/>
                <w:szCs w:val="24"/>
                <w:rtl w:val="0"/>
              </w:rPr>
              <w:t xml:space="preserve">Wk 15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Component 2A Music. This assessment will be an analysis of music video, magazines and radio.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1411930</wp:posOffset>
                  </wp:positionH>
                  <wp:positionV relativeFrom="paragraph">
                    <wp:posOffset>590550</wp:posOffset>
                  </wp:positionV>
                  <wp:extent cx="619125" cy="608450"/>
                  <wp:effectExtent b="0" l="0" r="0" t="0"/>
                  <wp:wrapNone/>
                  <wp:docPr id="7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16666" l="16547" r="17578" t="17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8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45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25"/>
        <w:tblGridChange w:id="0">
          <w:tblGrid>
            <w:gridCol w:w="110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i w:val="1"/>
                <w:sz w:val="36"/>
                <w:szCs w:val="36"/>
                <w:rtl w:val="0"/>
              </w:rPr>
              <w:t xml:space="preserve">‘May the force be with you.’ - Obi Wan Kenobi</w:t>
            </w:r>
          </w:p>
        </w:tc>
      </w:tr>
    </w:tbl>
    <w:p w:rsidR="00000000" w:rsidDel="00000000" w:rsidP="00000000" w:rsidRDefault="00000000" w:rsidRPr="00000000" w14:paraId="00000047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" w:top="284" w:left="566" w:right="56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@everyframeapainting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www.youtube.com/@LessonsfromtheScreenplay" TargetMode="External"/><Relationship Id="rId12" Type="http://schemas.openxmlformats.org/officeDocument/2006/relationships/hyperlink" Target="https://www.youtube.com/@ThomasFligh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ezk8aRD9OjH6HjXirU74a6TfSQ==">CgMxLjAyCGguZ2pkZ3hzOAByITFReVNBVTlKenNGOUpEdnUxMUkydkt4M21jdkRnbEFuOA==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2023-08-31T07:29:00Z</dcterms:created>
  <dc:creator>Amelia Ainsworth</dc:creator>
</cp:coreProperties>
</file>