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5916930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38101</wp:posOffset>
            </wp:positionH>
            <wp:positionV relativeFrom="paragraph">
              <wp:posOffset>99060</wp:posOffset>
            </wp:positionV>
            <wp:extent cx="617220" cy="87630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 - ART &amp; DESIGN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Layout w:type="fixed"/>
        <w:tblLook w:val="0400"/>
      </w:tblPr>
      <w:tblGrid>
        <w:gridCol w:w="846"/>
        <w:gridCol w:w="7513"/>
        <w:gridCol w:w="708"/>
        <w:gridCol w:w="567"/>
        <w:gridCol w:w="709"/>
        <w:tblGridChange w:id="0">
          <w:tblGrid>
            <w:gridCol w:w="846"/>
            <w:gridCol w:w="7513"/>
            <w:gridCol w:w="708"/>
            <w:gridCol w:w="567"/>
            <w:gridCol w:w="7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EXTERNALLY SET ASSIGNMENT (40%)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Develop ideas through investigations, demonstrating critical understanding of sources.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The starting point – Project brief/theme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all initial ideas (prior to and including chosen theme)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Inspiration/Moodboard (a collection of research examples and photographs </w:t>
              <w:br w:type="textWrapping"/>
              <w:t xml:space="preserve">that relate to the theme/initial ideas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Additional ‘own photographs’ that relate to the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Examples of other artists’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Mini written analysis –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First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chosen artist &amp; transcription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Mini written analysis –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Second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chosen artist &amp; transcription (2)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OR: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Spider diagram – First &amp; second artists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- Copy (Similar colours, techniques &amp; materials) –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- Copy (Similar colours, techniques &amp; materials) -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Refine work by exploring ideas, selecting and experimenting with appropriate media, </w:t>
              <w:br w:type="textWrapping"/>
              <w:t xml:space="preserve">materials, techniques and processes.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A3 Development – (2-3 sections) – 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influence – Varied colours,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Development – (2-3 sections) – 2nd influence – Varied colours,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Initial Ideas (1-2 A3 pages), with thorough annotations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Idea (A4 minimum size)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Record ideas, observations and insights relevant to intentions as work progresses.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Development – (2-3 sections) – 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influence – Based on final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Development – (2-3 sections) – 2nd influence – Based on final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Development – (2-3 sections) – Combined influences – Final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Observation drawings – All things related to final idea (x 3 minimum)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Full critical analysis x 2 (Chosen artistic influences)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Action plan &amp; Mock-up of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Present a personal and meaningful response that realises intentions and demonstrates understanding of visual language.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 (Before 10 hours)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/ Personal Response (Carried out over the 10 hours)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l70imcucy4x9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