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47627</wp:posOffset>
            </wp:positionH>
            <wp:positionV relativeFrom="paragraph">
              <wp:posOffset>-647698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Iden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tity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10/11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Art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AO1: develop ideas through investigations, demonstrating critical understanding of sources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Mood board based on the theme of your ‘Identity’ (A3)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Mind map of ideas related to your own Identity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A4 page of Artist influences, using ICT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x German Expressionist portraits &amp; 2 x Pop Art portraits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Mini analysis – A4 (1 x Pop Art &amp; 1 x Stanley Spencer) – ICT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Pop Art (2 x A5 (different materials) or 1 x A4)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Stanley Spencer (2 x A5 (different materials) or 1 x A4)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Mini analysis – A4 ( 2 x own choice that tell a story) – ICT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choice 1 (2 x A5 (different materials) or 1 x 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Transcriptions choice 2 (2 x A5 (different materials) or 1 x 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German Expressionist portrait (A4)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German Expressionist self-portrait (A4)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AO2: refine work by exploring ideas, selecting and experimenting with appropriate media, materials, techniques and processes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Caricature (Facial) &amp; 1 x Caricature (Full Figure)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Andy Warhol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portrait collage (A3)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Photoshop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Pop Art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portraits (x4 on A4) &amp; (x1 on 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Stanley Spencer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realistic acrylic painted self-portrait (A4)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 variety of good quality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development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pieces 2 x A3 in artists style (copies, using different materials for each section).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artists’ choice x 1 (A3) &amp; second artists choice x 1 (A3) + enlarged sections, combining both artists styles/techniques. </w:t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(Experimentation, new techniques and processes must be evident) e.g........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Colour ways/variations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Paint techniques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Varied materials; acrylic and biro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Watercolour and coloured pencil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Layered papers; tissue and sugar paper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Indian ink with coloured inks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Acrylic with coloured inks </w:t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(Artistic influences must be made clear throughout development work)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AO3: record ideas, observations and insights relevant </w:t>
              <w:br w:type="textWrapping"/>
              <w:t xml:space="preserve">to intentions as work progresses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Critical analysis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of chosen artist (1)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Transcriptions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(x1 A4) from chosen artist’s work (1) – Same as above.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Critical analysis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of chosen artist (2)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Transcriptions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(x1 A4) from chosen artist’s work (2) – Same as above.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Initial ideas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page A3 (with thorough annotations) – minimum of 4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x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Development of final idea (black marker)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or re-arranged ideas page if undecided - Final composition must be drawn accurately and to proportion using a fine liner and be a combination from initial ideas.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Create a variety of good quality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development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pieces, related to final idea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(Pulling final idea and previous materials and new together) some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Observation drawings of things / objects from final idea 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Self –portrait in pencil from mirror or photograph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Own photographs taken related directly to your final idea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Action plan with thorough annotations (photocopy of final idea –small)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Colour Mock-up of intentions (A4)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AO4: present a personal and meaningful response that realises intentions and demonstrates understanding of visual 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ajchpxzg6q17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Evaluation / Personal Response (Final outcome / Final piece).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