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Interdependence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71"/>
        <w:gridCol w:w="415"/>
        <w:gridCol w:w="375"/>
        <w:gridCol w:w="388"/>
        <w:tblGridChange w:id="0">
          <w:tblGrid>
            <w:gridCol w:w="8671"/>
            <w:gridCol w:w="41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1"/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Organisms in a food web (producers and consumers) depend on each other for nutrients. So, a change in one population leads to changes in others.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population of a species is affected by the number of its predators and prey, disease, pollution and competition between individuals for limited resources such as water and nutrients.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Insects are needed to pollinate food crops.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Food web: Shows how food chains in an ecosystem are linked.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Food chain: Part of a food web, starting with a producer, ending with a top predator.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Ecosystem: The living things in a given area and their non-living environment.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Population: Group of the same species living in an area.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Producer: Green plant or algae that makes its own food using sunlight.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Consumer: Animal that eats other animals or plants.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a species’ population changes as its predator or prey population changes.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effects of environmental changes and toxic materials on a species’ population.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Combine food chains to form a food web.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issues with human food supplies in terms of insect pollinators.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what might happen when an unfamiliar species is introduced into a food web.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Develop an argument about how toxic substances can accumulate in human food.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Make a deduction based on data about what caused a change in the population of a species.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Plant reproduction and samplin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 techniques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2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9"/>
        <w:gridCol w:w="375"/>
        <w:gridCol w:w="426"/>
        <w:gridCol w:w="399"/>
        <w:tblGridChange w:id="0">
          <w:tblGrid>
            <w:gridCol w:w="8649"/>
            <w:gridCol w:w="375"/>
            <w:gridCol w:w="426"/>
            <w:gridCol w:w="3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Plants reproduce sexually to produce seeds, which are formed following fertilisation in the ovary.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Flowers contain the plant’s reproductive organs.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Pollen can be carried by the wind, pollinating insects or other animals.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Skill: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pooters and identification keys to sample insect species found locally.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Pollen: Contains the plant male sex cells found on the stamens.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Ovules: Female sex cells in plants found in the ovary.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Pollination: Transfer of pollen from the male part of the flower to the female part of the flower on the same or another plant.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Fertilisation: Joining of a nucleus from a male and female sex cell.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the main steps that take place when a plant reproduces successfully.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Analyse data to describe patterns in the distribution of different species.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 the population size of a plant species using quadrats.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similarities and differences between the structures of wind pollinated and insect pollinated plants.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Develop an argument why a particular plant structure increases the likelihood of successful production of offspring.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no6VZcaUfUGxu6V6m5gViySmQ==">CgMxLjA4AHIhMXBYenJKalFxZmdLNnlHTlI5eG9DeEhpNVgwUnNWTWFv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